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15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Ayuntamiento y Cabildo invertirán 430.000 euros en reformar el Centro Juvenil de Puerto de Santiago  </w:t>
      </w:r>
    </w:p>
    <w:p>
      <w:pPr>
        <w:spacing w:before="100" w:beforeAutospacing="1" w:after="100" w:afterAutospacing="1"/>
        <w:jc w:val="both"/>
        <w:outlineLvl w:val="2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iCs/>
          <w:sz w:val="28"/>
          <w:szCs w:val="28"/>
        </w:rPr>
        <w:t>El Cabildo aportará el 80% y el Ayuntamiento sufragará un 20% en la mejora de las instalaciones que serán punto de referencia de formación y ocio para los jóvenes de la comarca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Cabildo de Tenerife aprobó, recientemente, suscribir un convenio con el Ayuntamiento de Santiago del Teide para la ejecución de las obras destinadas a la creación y puesta en marcha de la Casa de la Juventud de Puerto Santiago. Dicho acuerdo contempla la reforma del Centro Juvenil actual situado en La Vigilia y del Centro de la Tercera Edad, que requiere de una inversión de 430.561 euros.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este sentido, el Cabildo aportará el 80% de la inversión requerida, es decir, 344.449 euros mientras que el Ayuntamiento de Santiago del Teide se hace cargo del resto, que alcanza los 86.112 euros.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Esta futura infraestructura municipal ampliará la oferta de ocio con un espacio más lúdico y divertido, con zonas de juego, de proyección y de conexión a Internet y, por otro lad,o un espacio dividido del anterior mucho más dedicado a la formación  de la que podrán beneficiarse los jóvenes de Santiago del Teide sin tener que hacer grandes desplazamientos.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Además, las fases de trabajo en las que se divide esta intervención buscan conseguir un espacio urbano moderno y en diálogo con la plaza anexa y con el ambiente urbano circundante.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 pretende armonizar los edificios con su entorno y adaptarlos a una realidad urbana más moderna y atractiva.La reforma interior planteada intenta conseguir un espacio mejor distribuido y más racionalizado tanto para el centro juvenil como para el club de la tercera edad.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idea de proyecto es generar un nuevo volumen compacto y armónico que genere una imagen moderna y conjunta de estos edificios de equipamientos que sea cambiante entre día y noche, puesto que por el día va a dar esa imagen compacta y por la noche tendrá una apariencia mucho más porosa y abierta al funcionar las fachadas en lama como linternas de luz.</w:t>
      </w: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2021-11-15T11:29:00Z</dcterms:created>
  <dcterms:modified xsi:type="dcterms:W3CDTF">2021-11-15T11:29:00Z</dcterms:modified>
</cp:coreProperties>
</file>